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F02012" w:rsidTr="0008061A">
        <w:trPr>
          <w:trHeight w:val="963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DC5C62" w:rsidRDefault="0008061A" w:rsidP="009B28FF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08061A">
              <w:rPr>
                <w:rFonts w:ascii="Arial" w:hAnsi="Arial" w:cs="Arial"/>
                <w:b/>
                <w:color w:val="0070C0"/>
                <w:sz w:val="28"/>
                <w:szCs w:val="28"/>
              </w:rPr>
              <w:t>Implementace Metodiky 2017+</w:t>
            </w:r>
          </w:p>
          <w:p w:rsidR="00AD6152" w:rsidRPr="00AD6152" w:rsidRDefault="00AD6152" w:rsidP="00AD6152">
            <w:pPr>
              <w:pStyle w:val="Odstavecseseznamem"/>
              <w:numPr>
                <w:ilvl w:val="0"/>
                <w:numId w:val="24"/>
              </w:numPr>
              <w:spacing w:before="120" w:after="120" w:line="276" w:lineRule="auto"/>
              <w:jc w:val="both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AD6152">
              <w:rPr>
                <w:rFonts w:ascii="Arial" w:hAnsi="Arial" w:cs="Arial"/>
                <w:b/>
                <w:color w:val="0070C0"/>
                <w:sz w:val="24"/>
                <w:szCs w:val="24"/>
              </w:rPr>
              <w:t>Vypořádání námitek výzkumných organizací k hodnocení výsledků v Modulu 1 při hodnocení H19</w:t>
            </w:r>
          </w:p>
          <w:p w:rsidR="00AD6152" w:rsidRPr="00AD6152" w:rsidRDefault="00AD6152" w:rsidP="00AD6152">
            <w:pPr>
              <w:pStyle w:val="Odstavecseseznamem"/>
              <w:numPr>
                <w:ilvl w:val="0"/>
                <w:numId w:val="24"/>
              </w:numPr>
              <w:spacing w:before="120" w:after="120" w:line="276" w:lineRule="auto"/>
              <w:jc w:val="both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AD6152">
              <w:rPr>
                <w:rFonts w:ascii="Arial" w:hAnsi="Arial" w:cs="Arial"/>
                <w:b/>
                <w:color w:val="0070C0"/>
                <w:sz w:val="24"/>
                <w:szCs w:val="24"/>
              </w:rPr>
              <w:t>PS KHV pro hodnocení aplikovaného výzkumu</w:t>
            </w:r>
          </w:p>
          <w:p w:rsidR="00AD6152" w:rsidRPr="00AD6152" w:rsidRDefault="00AD6152" w:rsidP="00AD6152">
            <w:pPr>
              <w:pStyle w:val="Odstavecseseznamem"/>
              <w:numPr>
                <w:ilvl w:val="0"/>
                <w:numId w:val="24"/>
              </w:numPr>
              <w:spacing w:before="120" w:after="120" w:line="276" w:lineRule="auto"/>
              <w:jc w:val="both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AD6152"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Schválení Protokolů z jednání tripartit s AV ČR, MD, MK, MO, MPO, MPSV, MV, </w:t>
            </w:r>
            <w:proofErr w:type="spellStart"/>
            <w:r w:rsidRPr="00AD6152">
              <w:rPr>
                <w:rFonts w:ascii="Arial" w:hAnsi="Arial" w:cs="Arial"/>
                <w:b/>
                <w:color w:val="0070C0"/>
                <w:sz w:val="24"/>
                <w:szCs w:val="24"/>
              </w:rPr>
              <w:t>MZe</w:t>
            </w:r>
            <w:proofErr w:type="spellEnd"/>
            <w:r w:rsidRPr="00AD6152">
              <w:rPr>
                <w:rFonts w:ascii="Arial" w:hAnsi="Arial" w:cs="Arial"/>
                <w:b/>
                <w:color w:val="0070C0"/>
                <w:sz w:val="24"/>
                <w:szCs w:val="24"/>
              </w:rPr>
              <w:t>, MŽP a MZV</w:t>
            </w:r>
          </w:p>
          <w:p w:rsidR="00AD6152" w:rsidRPr="006C0911" w:rsidRDefault="00AD6152" w:rsidP="00AD6152">
            <w:pPr>
              <w:pStyle w:val="Odstavecseseznamem"/>
              <w:numPr>
                <w:ilvl w:val="0"/>
                <w:numId w:val="24"/>
              </w:numPr>
              <w:spacing w:before="120" w:after="120" w:line="276" w:lineRule="auto"/>
              <w:jc w:val="both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AD6152">
              <w:rPr>
                <w:rFonts w:ascii="Arial" w:hAnsi="Arial" w:cs="Arial"/>
                <w:b/>
                <w:color w:val="0070C0"/>
                <w:sz w:val="24"/>
                <w:szCs w:val="24"/>
              </w:rPr>
              <w:t>Aktualizace personálního obsazení Odborných panelů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6C0911" w:rsidP="003717E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717E1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 w:rsidR="00F31CF3">
              <w:rPr>
                <w:rFonts w:ascii="Arial" w:hAnsi="Arial" w:cs="Arial"/>
                <w:b/>
                <w:color w:val="0070C0"/>
                <w:sz w:val="28"/>
                <w:szCs w:val="28"/>
              </w:rPr>
              <w:t>/A4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F02012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A1121F" w:rsidRDefault="00A1121F" w:rsidP="00DB13D0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1121F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EE69B5" w:rsidRPr="00A1121F">
              <w:rPr>
                <w:rFonts w:ascii="Arial" w:hAnsi="Arial" w:cs="Arial"/>
                <w:i/>
                <w:sz w:val="22"/>
                <w:szCs w:val="22"/>
              </w:rPr>
              <w:t xml:space="preserve">ng. Marek, doc. Machan, </w:t>
            </w:r>
            <w:r w:rsidR="003717E1" w:rsidRPr="00A1121F">
              <w:rPr>
                <w:rFonts w:ascii="Arial" w:hAnsi="Arial" w:cs="Arial"/>
                <w:i/>
                <w:sz w:val="22"/>
                <w:szCs w:val="22"/>
              </w:rPr>
              <w:t xml:space="preserve">prof. </w:t>
            </w:r>
            <w:proofErr w:type="spellStart"/>
            <w:r w:rsidR="003717E1" w:rsidRPr="00A1121F">
              <w:rPr>
                <w:rFonts w:ascii="Arial" w:hAnsi="Arial" w:cs="Arial"/>
                <w:i/>
                <w:sz w:val="22"/>
                <w:szCs w:val="22"/>
              </w:rPr>
              <w:t>Jurajda</w:t>
            </w:r>
            <w:proofErr w:type="spellEnd"/>
          </w:p>
        </w:tc>
      </w:tr>
      <w:tr w:rsidR="008F77F6" w:rsidRPr="00F02012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F020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A1121F" w:rsidRDefault="00582F4D" w:rsidP="00582F4D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A1121F">
              <w:rPr>
                <w:rFonts w:ascii="Arial" w:hAnsi="Arial" w:cs="Arial"/>
                <w:i/>
                <w:sz w:val="22"/>
                <w:szCs w:val="22"/>
              </w:rPr>
              <w:t>dr. Miholová</w:t>
            </w:r>
            <w:r w:rsidR="008F0FA9" w:rsidRPr="00A1121F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FA0A9E" w:rsidRPr="00A1121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752A3C" w:rsidRPr="00A1121F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A0D30" w:rsidRPr="00A1121F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752A3C" w:rsidRPr="00A1121F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A0A9E" w:rsidRPr="00A1121F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A1121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3717E1" w:rsidRPr="00A1121F">
              <w:rPr>
                <w:rFonts w:ascii="Arial" w:hAnsi="Arial" w:cs="Arial"/>
                <w:i/>
                <w:sz w:val="22"/>
                <w:szCs w:val="22"/>
              </w:rPr>
              <w:t>15</w:t>
            </w:r>
            <w:r w:rsidR="00474974" w:rsidRPr="00A1121F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Pr="00A1121F">
              <w:rPr>
                <w:rFonts w:ascii="Arial" w:hAnsi="Arial" w:cs="Arial"/>
                <w:i/>
                <w:sz w:val="22"/>
                <w:szCs w:val="22"/>
              </w:rPr>
              <w:t>února</w:t>
            </w:r>
            <w:r w:rsidR="00474974" w:rsidRPr="00A1121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3717E1" w:rsidRPr="00A1121F">
              <w:rPr>
                <w:rFonts w:ascii="Arial" w:hAnsi="Arial" w:cs="Arial"/>
                <w:i/>
                <w:sz w:val="22"/>
                <w:szCs w:val="22"/>
              </w:rPr>
              <w:t>2021</w:t>
            </w:r>
            <w:r w:rsidR="00951625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 w:rsidR="00951625">
              <w:rPr>
                <w:rFonts w:ascii="Arial" w:hAnsi="Arial" w:cs="Arial"/>
                <w:i/>
                <w:sz w:val="22"/>
                <w:szCs w:val="22"/>
              </w:rPr>
              <w:t>upr</w:t>
            </w:r>
            <w:proofErr w:type="spellEnd"/>
            <w:r w:rsidR="00951625">
              <w:rPr>
                <w:rFonts w:ascii="Arial" w:hAnsi="Arial" w:cs="Arial"/>
                <w:i/>
                <w:sz w:val="22"/>
                <w:szCs w:val="22"/>
              </w:rPr>
              <w:t>. 26.2.</w:t>
            </w:r>
          </w:p>
        </w:tc>
      </w:tr>
      <w:tr w:rsidR="008F77F6" w:rsidRPr="00F02012" w:rsidTr="009B28FF">
        <w:trPr>
          <w:trHeight w:val="2617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A6022" w:rsidRPr="00F02012" w:rsidRDefault="006A6022" w:rsidP="003D57CE">
            <w:pPr>
              <w:pStyle w:val="Styl1-Nzevmaterilu"/>
              <w:spacing w:before="60" w:after="120" w:line="276" w:lineRule="auto"/>
              <w:jc w:val="both"/>
              <w:rPr>
                <w:i/>
                <w:szCs w:val="22"/>
              </w:rPr>
            </w:pPr>
            <w:r w:rsidRPr="00F02012">
              <w:rPr>
                <w:i/>
                <w:szCs w:val="22"/>
              </w:rPr>
              <w:t>Souhrn</w:t>
            </w:r>
          </w:p>
          <w:p w:rsidR="003717E1" w:rsidRDefault="003717E1" w:rsidP="003D57CE">
            <w:pPr>
              <w:pStyle w:val="Odstavecseseznamem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717E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Rada pro výzkum vývoj a inovace (dále jen „Rada“</w:t>
            </w:r>
            <w:r w:rsidR="003D65E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) na svém 360. zasedání dne 25. </w:t>
            </w:r>
            <w:r w:rsidRPr="003717E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září 2020 schválila zveřejnění výstupů z Modulu 1 po třetím roce implementace M17+ a požádala výzkumné organizace v případě potřeby o zpětnou vazbu ke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Pr="003717E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zveřejněným výstupům z hodnocení podle Metodiky 2017+ na národní úrovni a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Pr="003717E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to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Pr="003717E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do 14 dnů od data jejich zpřístupnění. Lhůta pro zasílání podnětů uplynula dne 13. října 2020. Vypořádání </w:t>
            </w:r>
            <w:r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námitek výzkumných organizací navržené předsedy Odborných panelů a schválené KHV bylo předloženo na 362. zasedání RVVI dne 27. listopadu 2020. Rada se s materiálem seznámila</w:t>
            </w:r>
            <w:r w:rsidR="00EE69B5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. </w:t>
            </w:r>
          </w:p>
          <w:p w:rsidR="00182565" w:rsidRDefault="00182565" w:rsidP="003D57CE">
            <w:pPr>
              <w:pStyle w:val="Odstavecseseznamem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Z doručených 50 námitek byly </w:t>
            </w:r>
            <w:r w:rsidR="00AC28F5">
              <w:rPr>
                <w:rFonts w:ascii="Arial" w:hAnsi="Arial" w:cs="Arial"/>
                <w:bCs/>
                <w:sz w:val="22"/>
                <w:szCs w:val="22"/>
              </w:rPr>
              <w:t xml:space="preserve">námitky </w:t>
            </w:r>
            <w:proofErr w:type="gramStart"/>
            <w:r>
              <w:rPr>
                <w:rFonts w:ascii="Arial" w:hAnsi="Arial" w:cs="Arial"/>
                <w:bCs/>
                <w:sz w:val="22"/>
                <w:szCs w:val="22"/>
              </w:rPr>
              <w:t>ke</w:t>
            </w:r>
            <w:proofErr w:type="gram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4 výsledkům hodnocení od 3 výzkumných organizací doručeny po lhůtě </w:t>
            </w:r>
            <w:r w:rsidR="00AC28F5">
              <w:rPr>
                <w:rFonts w:ascii="Arial" w:hAnsi="Arial" w:cs="Arial"/>
                <w:bCs/>
                <w:sz w:val="22"/>
                <w:szCs w:val="22"/>
              </w:rPr>
              <w:t xml:space="preserve">stanovené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pro předložení námitek. V souladu s usnesením Rady z 364. zasedání nebyly tyto námitky dále vypořádány. Zbývajících 46 námitek se navrhuje vypořádat takto: </w:t>
            </w:r>
          </w:p>
          <w:p w:rsidR="00182565" w:rsidRDefault="00182565" w:rsidP="003D57CE">
            <w:pPr>
              <w:pStyle w:val="Odstavecseseznamem"/>
              <w:numPr>
                <w:ilvl w:val="0"/>
                <w:numId w:val="27"/>
              </w:num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16 námitkám se navrhuje vyhovět, z toho 4 hodnocení se navrhují zrušit z důvodu chyby na straně odborných panelů, neboť hodnocení již není možné opakovat, 8 námitkám se navrhuje vyhovět změnou kvalitativního stupně hodnocení ve prospěch výzkumné organizace, 3 námitkám se navrhuje vyhovět beze změny kvalitativního stupně hodnocení.</w:t>
            </w:r>
          </w:p>
          <w:p w:rsidR="00182565" w:rsidRPr="00182565" w:rsidRDefault="00182565" w:rsidP="003D57CE">
            <w:pPr>
              <w:pStyle w:val="Odstavecseseznamem"/>
              <w:numPr>
                <w:ilvl w:val="0"/>
                <w:numId w:val="27"/>
              </w:numPr>
              <w:spacing w:line="276" w:lineRule="auto"/>
              <w:jc w:val="both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30 námitkám se navrhuje nevyhovět, z toho 10 námitkám z důvodu zcela chybějících nebo chybně vložených výsledků či odkazů na výsledky, 3 námitkám z důvodu jejich neurčitosti (není zřejmé, vůči čemu se výzkumná organizace vymezuje nebo čeho se domáhá), 7 námitkám z důvodu chybně zvoleného kritéria hodnocení výzkumnou organizací (kritérium hodnocení není možné změnit v průběhu hodnocení), 7 námitkám z důvodu jiného nesouladu námitky s Metodikou 2017+. </w:t>
            </w:r>
          </w:p>
          <w:p w:rsidR="00182565" w:rsidRPr="00182565" w:rsidRDefault="00182565" w:rsidP="003D57CE">
            <w:pPr>
              <w:pStyle w:val="Odstavecseseznamem"/>
              <w:numPr>
                <w:ilvl w:val="0"/>
                <w:numId w:val="27"/>
              </w:numPr>
              <w:spacing w:line="276" w:lineRule="auto"/>
              <w:jc w:val="both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 námitku se navrhuje odmítnout, neboť se vztahuje k hodnocení H18 a 2 námitky jsou podnětem pro KHV.</w:t>
            </w:r>
          </w:p>
          <w:p w:rsidR="003717E1" w:rsidRPr="003717E1" w:rsidRDefault="003717E1" w:rsidP="003D57CE">
            <w:pPr>
              <w:pStyle w:val="Odstavecseseznamem"/>
              <w:spacing w:line="276" w:lineRule="auto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</w:p>
          <w:p w:rsidR="00F31CF3" w:rsidRPr="00F31CF3" w:rsidRDefault="00F31CF3" w:rsidP="00F31CF3">
            <w:pPr>
              <w:pStyle w:val="Odstavecseseznamem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CC104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Informaci o činnosti PS KHV pro hodnocení aplikovaného výzkumu podle usnesení 358. zasedání Rady ze dne 26. června 2020 v bodě A2/6 zpracoval a ústní informaci </w:t>
            </w:r>
            <w:r w:rsidRPr="00CC104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lastRenderedPageBreak/>
              <w:t>podá doc. Machan.</w:t>
            </w:r>
          </w:p>
          <w:p w:rsidR="00F31CF3" w:rsidRPr="00CC104A" w:rsidRDefault="00F31CF3" w:rsidP="00F31CF3">
            <w:pPr>
              <w:pStyle w:val="Odstavecseseznamem"/>
              <w:spacing w:line="276" w:lineRule="auto"/>
              <w:jc w:val="both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</w:p>
          <w:p w:rsidR="00CC104A" w:rsidRPr="00CC104A" w:rsidRDefault="006C0911" w:rsidP="00CC104A">
            <w:pPr>
              <w:pStyle w:val="Odstavecseseznamem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18256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Protokoly z projednávání výsledků podle M17+</w:t>
            </w:r>
            <w:r w:rsidR="00743F2F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 tzv. tripartit, k</w:t>
            </w:r>
            <w:r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teré směřovaly k upřesnění indikativního škálování výzkumných organizací po </w:t>
            </w:r>
            <w:r w:rsidR="003717E1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třech</w:t>
            </w:r>
            <w:r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letech implementace Metodiky 2017+</w:t>
            </w:r>
            <w:r w:rsidR="00521346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</w:t>
            </w:r>
            <w:r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jsou Radě před</w:t>
            </w:r>
            <w:r w:rsidR="00521346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loženy</w:t>
            </w:r>
            <w:r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v podobě, v které byly schváleny</w:t>
            </w:r>
            <w:r w:rsidR="00EE69B5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 všemi účastníky jednání</w:t>
            </w:r>
            <w:r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  <w:r w:rsidR="00521346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Jedná se o závěry </w:t>
            </w:r>
            <w:r w:rsidR="00A1121F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jednání z</w:t>
            </w:r>
            <w:r w:rsidR="004256A2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3</w:t>
            </w:r>
            <w:r w:rsidR="002B73C0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 prosince 20</w:t>
            </w:r>
            <w:r w:rsidR="004256A2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20</w:t>
            </w:r>
            <w:r w:rsidR="002B73C0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4256A2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A67E7C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 Akademií</w:t>
            </w:r>
            <w:r w:rsidR="004256A2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věd České republiky, </w:t>
            </w:r>
            <w:r w:rsidR="00A67E7C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7. prosince 2020 s Ministerstvem obrany, 8. prosince 2020 s Ministerstvem práce a sociálních věcí a Ministerstvem</w:t>
            </w:r>
            <w:r w:rsidR="002B73C0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životního prostředí</w:t>
            </w:r>
            <w:r w:rsidR="00A67E7C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</w:t>
            </w:r>
            <w:r w:rsidR="002B73C0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A67E7C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9. prosince 2020 s Ministerstvem zahraničních věcí, 10. prosince 2020 s</w:t>
            </w:r>
            <w:r w:rsidR="00C63397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 Ministerstvem </w:t>
            </w:r>
            <w:r w:rsidR="00A67E7C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dopravy, 14. prosince 2020 </w:t>
            </w:r>
            <w:r w:rsidR="00C63397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</w:t>
            </w:r>
            <w:r w:rsidR="00A67E7C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C63397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Ministerstvem</w:t>
            </w:r>
            <w:r w:rsidR="00A67E7C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vnitra,  15. prosince 2020</w:t>
            </w:r>
            <w:r w:rsidR="00C63397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s</w:t>
            </w:r>
            <w:r w:rsidR="00A67E7C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C63397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Ministerstvem</w:t>
            </w:r>
            <w:r w:rsidR="00A67E7C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průmyslu a obchodu,  16. prosince 2020</w:t>
            </w:r>
            <w:r w:rsidR="00C63397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s Ministerstvem</w:t>
            </w:r>
            <w:r w:rsidR="00A67E7C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zemědělství</w:t>
            </w:r>
            <w:r w:rsidR="00C63397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 21. prosince 2020 s Ministerstvem kultury</w:t>
            </w:r>
            <w:r w:rsidR="009B142E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. Tripartita s Ministerstvem zdravotnictví dne 16. 12. 2020 byla uzavřena </w:t>
            </w:r>
            <w:proofErr w:type="spellStart"/>
            <w:r w:rsidR="009B142E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škálování</w:t>
            </w:r>
            <w:r w:rsidR="00FE2C10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</w:t>
            </w:r>
            <w:proofErr w:type="spellEnd"/>
            <w:r w:rsidR="009B142E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, které bylo konsensem pouze dvou stran (Odborných panelů a Rady). </w:t>
            </w:r>
            <w:proofErr w:type="spellStart"/>
            <w:r w:rsidR="009B142E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MZd</w:t>
            </w:r>
            <w:proofErr w:type="spellEnd"/>
            <w:r w:rsidR="009B142E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se počátkem února 2021 vyjádřilo, že souhlasí s Protokolem i s návrhem škálování. Souhlasit se </w:t>
            </w:r>
            <w:proofErr w:type="spellStart"/>
            <w:r w:rsidR="009B142E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škálováním</w:t>
            </w:r>
            <w:proofErr w:type="spellEnd"/>
            <w:r w:rsidR="009B142E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poskytovatel rovněž navrhl Komisi pro instituci</w:t>
            </w:r>
            <w:r w:rsidR="003D65E9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onální podporu </w:t>
            </w:r>
            <w:proofErr w:type="spellStart"/>
            <w:r w:rsidR="003D65E9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MZd</w:t>
            </w:r>
            <w:proofErr w:type="spellEnd"/>
            <w:r w:rsidR="003D65E9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 která se na </w:t>
            </w:r>
            <w:r w:rsidR="009B142E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hodnocení organizací podílí. Jakmile bude škálování potvrzeno, bude protokol </w:t>
            </w:r>
            <w:r w:rsidR="00CC104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dodatečně </w:t>
            </w:r>
            <w:r w:rsidR="00EE69B5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předložen ke schválení </w:t>
            </w:r>
            <w:r w:rsidR="009B142E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</w:t>
            </w:r>
            <w:r w:rsidR="00CC104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adě</w:t>
            </w:r>
            <w:r w:rsidR="009B142E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  <w:r w:rsidR="004A1E65" w:rsidRPr="0018256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4A1E65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Tripartita s Ministerstvem školství, mládeže a</w:t>
            </w:r>
            <w:r w:rsid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="004A1E65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tělovýchovy proběhla 18. 12. 2020 a pokračovala 4. 2. 2021. </w:t>
            </w:r>
            <w:r w:rsidR="00521346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Protokoly z</w:t>
            </w:r>
            <w:r w:rsidR="004A1E65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="00521346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jednání</w:t>
            </w:r>
            <w:r w:rsidR="004A1E65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521346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budou předloženy Radě </w:t>
            </w:r>
            <w:r w:rsidR="00CC104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dodatečně</w:t>
            </w:r>
            <w:r w:rsidR="0002660E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  <w:r w:rsidR="00697955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CC104A" w:rsidRPr="00F31CF3" w:rsidRDefault="00CC104A" w:rsidP="00F31CF3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  <w:p w:rsidR="00CD0F55" w:rsidRPr="008E6036" w:rsidRDefault="003B4696" w:rsidP="00895F0F">
            <w:pPr>
              <w:pStyle w:val="Odstavecseseznamem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Bod přerušen.</w:t>
            </w:r>
            <w:bookmarkStart w:id="0" w:name="_GoBack"/>
            <w:bookmarkEnd w:id="0"/>
          </w:p>
        </w:tc>
      </w:tr>
    </w:tbl>
    <w:p w:rsidR="00F86D54" w:rsidRPr="00850662" w:rsidRDefault="003B4696" w:rsidP="00517379">
      <w:pPr>
        <w:rPr>
          <w:sz w:val="16"/>
          <w:szCs w:val="16"/>
        </w:rPr>
      </w:pPr>
    </w:p>
    <w:sectPr w:rsidR="00F86D54" w:rsidRPr="0085066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059" w:rsidRDefault="00642059" w:rsidP="008F77F6">
      <w:r>
        <w:separator/>
      </w:r>
    </w:p>
  </w:endnote>
  <w:endnote w:type="continuationSeparator" w:id="0">
    <w:p w:rsidR="00642059" w:rsidRDefault="0064205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059" w:rsidRDefault="00642059" w:rsidP="008F77F6">
      <w:r>
        <w:separator/>
      </w:r>
    </w:p>
  </w:footnote>
  <w:footnote w:type="continuationSeparator" w:id="0">
    <w:p w:rsidR="00642059" w:rsidRDefault="0064205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32AD4E93" wp14:editId="3DAC3CF0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9F6C1F"/>
    <w:multiLevelType w:val="hybridMultilevel"/>
    <w:tmpl w:val="1922A9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E5078"/>
    <w:multiLevelType w:val="hybridMultilevel"/>
    <w:tmpl w:val="7200F262"/>
    <w:lvl w:ilvl="0" w:tplc="3F0AC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766512F"/>
    <w:multiLevelType w:val="hybridMultilevel"/>
    <w:tmpl w:val="9D124FD2"/>
    <w:lvl w:ilvl="0" w:tplc="A2C86DC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9D5C64"/>
    <w:multiLevelType w:val="hybridMultilevel"/>
    <w:tmpl w:val="9376BD02"/>
    <w:lvl w:ilvl="0" w:tplc="58F4DADA">
      <w:start w:val="3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6E4B11"/>
    <w:multiLevelType w:val="hybridMultilevel"/>
    <w:tmpl w:val="19C635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7064F2"/>
    <w:multiLevelType w:val="hybridMultilevel"/>
    <w:tmpl w:val="AA6A52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BD1760"/>
    <w:multiLevelType w:val="hybridMultilevel"/>
    <w:tmpl w:val="0290A6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20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8728DE"/>
    <w:multiLevelType w:val="hybridMultilevel"/>
    <w:tmpl w:val="49BC3E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3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5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1777D7"/>
    <w:multiLevelType w:val="hybridMultilevel"/>
    <w:tmpl w:val="9C4464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2952EE"/>
    <w:multiLevelType w:val="hybridMultilevel"/>
    <w:tmpl w:val="7B84D48C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7"/>
  </w:num>
  <w:num w:numId="4">
    <w:abstractNumId w:val="1"/>
  </w:num>
  <w:num w:numId="5">
    <w:abstractNumId w:val="12"/>
  </w:num>
  <w:num w:numId="6">
    <w:abstractNumId w:val="18"/>
  </w:num>
  <w:num w:numId="7">
    <w:abstractNumId w:val="16"/>
  </w:num>
  <w:num w:numId="8">
    <w:abstractNumId w:val="11"/>
  </w:num>
  <w:num w:numId="9">
    <w:abstractNumId w:val="7"/>
  </w:num>
  <w:num w:numId="10">
    <w:abstractNumId w:val="23"/>
  </w:num>
  <w:num w:numId="11">
    <w:abstractNumId w:val="8"/>
  </w:num>
  <w:num w:numId="12">
    <w:abstractNumId w:val="25"/>
  </w:num>
  <w:num w:numId="13">
    <w:abstractNumId w:val="20"/>
  </w:num>
  <w:num w:numId="14">
    <w:abstractNumId w:val="30"/>
  </w:num>
  <w:num w:numId="15">
    <w:abstractNumId w:val="24"/>
  </w:num>
  <w:num w:numId="16">
    <w:abstractNumId w:val="29"/>
  </w:num>
  <w:num w:numId="17">
    <w:abstractNumId w:val="19"/>
  </w:num>
  <w:num w:numId="18">
    <w:abstractNumId w:val="22"/>
  </w:num>
  <w:num w:numId="19">
    <w:abstractNumId w:val="26"/>
  </w:num>
  <w:num w:numId="20">
    <w:abstractNumId w:val="4"/>
  </w:num>
  <w:num w:numId="21">
    <w:abstractNumId w:val="6"/>
  </w:num>
  <w:num w:numId="22">
    <w:abstractNumId w:val="21"/>
  </w:num>
  <w:num w:numId="23">
    <w:abstractNumId w:val="3"/>
  </w:num>
  <w:num w:numId="24">
    <w:abstractNumId w:val="27"/>
  </w:num>
  <w:num w:numId="25">
    <w:abstractNumId w:val="2"/>
  </w:num>
  <w:num w:numId="26">
    <w:abstractNumId w:val="5"/>
  </w:num>
  <w:num w:numId="27">
    <w:abstractNumId w:val="10"/>
  </w:num>
  <w:num w:numId="28">
    <w:abstractNumId w:val="13"/>
  </w:num>
  <w:num w:numId="29">
    <w:abstractNumId w:val="15"/>
  </w:num>
  <w:num w:numId="30">
    <w:abstractNumId w:val="28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03C0"/>
    <w:rsid w:val="00013483"/>
    <w:rsid w:val="00021A09"/>
    <w:rsid w:val="0002660E"/>
    <w:rsid w:val="00034112"/>
    <w:rsid w:val="0008061A"/>
    <w:rsid w:val="00095B2C"/>
    <w:rsid w:val="000B2133"/>
    <w:rsid w:val="000B552E"/>
    <w:rsid w:val="000C4A33"/>
    <w:rsid w:val="000D6C28"/>
    <w:rsid w:val="000F2431"/>
    <w:rsid w:val="00115DD5"/>
    <w:rsid w:val="00125E45"/>
    <w:rsid w:val="00142A2B"/>
    <w:rsid w:val="001521C9"/>
    <w:rsid w:val="00182565"/>
    <w:rsid w:val="001919AE"/>
    <w:rsid w:val="001A621D"/>
    <w:rsid w:val="001A77A3"/>
    <w:rsid w:val="001B2DA9"/>
    <w:rsid w:val="001C1FF6"/>
    <w:rsid w:val="001C6720"/>
    <w:rsid w:val="002025F0"/>
    <w:rsid w:val="002055E1"/>
    <w:rsid w:val="002113A6"/>
    <w:rsid w:val="00220337"/>
    <w:rsid w:val="002354C2"/>
    <w:rsid w:val="0023589F"/>
    <w:rsid w:val="00237006"/>
    <w:rsid w:val="00245132"/>
    <w:rsid w:val="00263138"/>
    <w:rsid w:val="00283411"/>
    <w:rsid w:val="00284417"/>
    <w:rsid w:val="002A18DA"/>
    <w:rsid w:val="002A40B1"/>
    <w:rsid w:val="002B73C0"/>
    <w:rsid w:val="002D1EB4"/>
    <w:rsid w:val="002F01DD"/>
    <w:rsid w:val="002F4B71"/>
    <w:rsid w:val="0031020D"/>
    <w:rsid w:val="00327C20"/>
    <w:rsid w:val="003320FD"/>
    <w:rsid w:val="0034709D"/>
    <w:rsid w:val="00360293"/>
    <w:rsid w:val="003717E1"/>
    <w:rsid w:val="00383055"/>
    <w:rsid w:val="0038437F"/>
    <w:rsid w:val="00387B05"/>
    <w:rsid w:val="003B4696"/>
    <w:rsid w:val="003C2660"/>
    <w:rsid w:val="003C2FDC"/>
    <w:rsid w:val="003C46A3"/>
    <w:rsid w:val="003D57CE"/>
    <w:rsid w:val="003D65E9"/>
    <w:rsid w:val="003E49F5"/>
    <w:rsid w:val="004256A2"/>
    <w:rsid w:val="0044033C"/>
    <w:rsid w:val="00451DCE"/>
    <w:rsid w:val="004637DD"/>
    <w:rsid w:val="00470878"/>
    <w:rsid w:val="00474974"/>
    <w:rsid w:val="00477798"/>
    <w:rsid w:val="00494A1F"/>
    <w:rsid w:val="0049627F"/>
    <w:rsid w:val="004A1E65"/>
    <w:rsid w:val="004C59C7"/>
    <w:rsid w:val="004D17F9"/>
    <w:rsid w:val="004D7E2C"/>
    <w:rsid w:val="00517379"/>
    <w:rsid w:val="00521346"/>
    <w:rsid w:val="00533126"/>
    <w:rsid w:val="00535DE1"/>
    <w:rsid w:val="00556BA1"/>
    <w:rsid w:val="00582F4D"/>
    <w:rsid w:val="00586F0C"/>
    <w:rsid w:val="00594514"/>
    <w:rsid w:val="005A039A"/>
    <w:rsid w:val="005B3626"/>
    <w:rsid w:val="005B612A"/>
    <w:rsid w:val="005C62FC"/>
    <w:rsid w:val="005C74DC"/>
    <w:rsid w:val="005E42B2"/>
    <w:rsid w:val="005E4DB4"/>
    <w:rsid w:val="005F0813"/>
    <w:rsid w:val="0061052C"/>
    <w:rsid w:val="006213EB"/>
    <w:rsid w:val="0062203F"/>
    <w:rsid w:val="00624F90"/>
    <w:rsid w:val="00642059"/>
    <w:rsid w:val="00646D8B"/>
    <w:rsid w:val="00646DD8"/>
    <w:rsid w:val="00655C89"/>
    <w:rsid w:val="00660AAF"/>
    <w:rsid w:val="00681D93"/>
    <w:rsid w:val="00684D79"/>
    <w:rsid w:val="00697955"/>
    <w:rsid w:val="006A0D30"/>
    <w:rsid w:val="006A6022"/>
    <w:rsid w:val="006C0911"/>
    <w:rsid w:val="006C214F"/>
    <w:rsid w:val="006E211B"/>
    <w:rsid w:val="006E518C"/>
    <w:rsid w:val="006F0B2D"/>
    <w:rsid w:val="006F59BB"/>
    <w:rsid w:val="006F7BCE"/>
    <w:rsid w:val="00713180"/>
    <w:rsid w:val="00713C3F"/>
    <w:rsid w:val="00717229"/>
    <w:rsid w:val="00726824"/>
    <w:rsid w:val="00743F2F"/>
    <w:rsid w:val="007524A6"/>
    <w:rsid w:val="00752A3C"/>
    <w:rsid w:val="00757162"/>
    <w:rsid w:val="00763060"/>
    <w:rsid w:val="00764DA0"/>
    <w:rsid w:val="00791776"/>
    <w:rsid w:val="007A13C6"/>
    <w:rsid w:val="007A514A"/>
    <w:rsid w:val="00804FFA"/>
    <w:rsid w:val="00810AA0"/>
    <w:rsid w:val="00812677"/>
    <w:rsid w:val="00817035"/>
    <w:rsid w:val="00824D90"/>
    <w:rsid w:val="008274EA"/>
    <w:rsid w:val="00850662"/>
    <w:rsid w:val="00861B66"/>
    <w:rsid w:val="008815AA"/>
    <w:rsid w:val="00890163"/>
    <w:rsid w:val="00895F0F"/>
    <w:rsid w:val="008A054D"/>
    <w:rsid w:val="008A7418"/>
    <w:rsid w:val="008C7205"/>
    <w:rsid w:val="008D74E2"/>
    <w:rsid w:val="008E6036"/>
    <w:rsid w:val="008F0FA9"/>
    <w:rsid w:val="008F35D6"/>
    <w:rsid w:val="008F3A3A"/>
    <w:rsid w:val="008F77F6"/>
    <w:rsid w:val="00907CC1"/>
    <w:rsid w:val="00920468"/>
    <w:rsid w:val="00925716"/>
    <w:rsid w:val="00925EA0"/>
    <w:rsid w:val="0094197F"/>
    <w:rsid w:val="009439B6"/>
    <w:rsid w:val="00951625"/>
    <w:rsid w:val="00952E93"/>
    <w:rsid w:val="009704D2"/>
    <w:rsid w:val="0097563F"/>
    <w:rsid w:val="009870E8"/>
    <w:rsid w:val="0099119D"/>
    <w:rsid w:val="00991E49"/>
    <w:rsid w:val="00996672"/>
    <w:rsid w:val="009A3D8D"/>
    <w:rsid w:val="009A3F0C"/>
    <w:rsid w:val="009A4A06"/>
    <w:rsid w:val="009B142E"/>
    <w:rsid w:val="009B28FF"/>
    <w:rsid w:val="009B4AAA"/>
    <w:rsid w:val="009B50BE"/>
    <w:rsid w:val="009B6B86"/>
    <w:rsid w:val="009D4BE5"/>
    <w:rsid w:val="009E46B2"/>
    <w:rsid w:val="009E63FB"/>
    <w:rsid w:val="009F279B"/>
    <w:rsid w:val="00A1065B"/>
    <w:rsid w:val="00A1121F"/>
    <w:rsid w:val="00A218B6"/>
    <w:rsid w:val="00A43DED"/>
    <w:rsid w:val="00A51417"/>
    <w:rsid w:val="00A52552"/>
    <w:rsid w:val="00A66E3E"/>
    <w:rsid w:val="00A67C88"/>
    <w:rsid w:val="00A67E7C"/>
    <w:rsid w:val="00A963DB"/>
    <w:rsid w:val="00AA1B8F"/>
    <w:rsid w:val="00AA51BE"/>
    <w:rsid w:val="00AA7217"/>
    <w:rsid w:val="00AB037F"/>
    <w:rsid w:val="00AB0910"/>
    <w:rsid w:val="00AC0DB2"/>
    <w:rsid w:val="00AC28F5"/>
    <w:rsid w:val="00AD6152"/>
    <w:rsid w:val="00AE7D40"/>
    <w:rsid w:val="00AF1195"/>
    <w:rsid w:val="00B2385A"/>
    <w:rsid w:val="00B27BD5"/>
    <w:rsid w:val="00B30591"/>
    <w:rsid w:val="00B476E7"/>
    <w:rsid w:val="00B82302"/>
    <w:rsid w:val="00B943E1"/>
    <w:rsid w:val="00BA0EEC"/>
    <w:rsid w:val="00BA148D"/>
    <w:rsid w:val="00BB0768"/>
    <w:rsid w:val="00BB3611"/>
    <w:rsid w:val="00BC1B8D"/>
    <w:rsid w:val="00BE56D0"/>
    <w:rsid w:val="00C20639"/>
    <w:rsid w:val="00C2324C"/>
    <w:rsid w:val="00C36357"/>
    <w:rsid w:val="00C40DD3"/>
    <w:rsid w:val="00C443FE"/>
    <w:rsid w:val="00C50E8F"/>
    <w:rsid w:val="00C55F96"/>
    <w:rsid w:val="00C63397"/>
    <w:rsid w:val="00C67A33"/>
    <w:rsid w:val="00C70CC5"/>
    <w:rsid w:val="00C74E01"/>
    <w:rsid w:val="00C8581B"/>
    <w:rsid w:val="00CA31E8"/>
    <w:rsid w:val="00CA43B6"/>
    <w:rsid w:val="00CB0A9E"/>
    <w:rsid w:val="00CC104A"/>
    <w:rsid w:val="00CC381A"/>
    <w:rsid w:val="00CC617D"/>
    <w:rsid w:val="00CD0F55"/>
    <w:rsid w:val="00CE70C1"/>
    <w:rsid w:val="00D04D72"/>
    <w:rsid w:val="00D126DB"/>
    <w:rsid w:val="00D15E62"/>
    <w:rsid w:val="00D20535"/>
    <w:rsid w:val="00D27C56"/>
    <w:rsid w:val="00D328B5"/>
    <w:rsid w:val="00D33AF3"/>
    <w:rsid w:val="00D40432"/>
    <w:rsid w:val="00D43079"/>
    <w:rsid w:val="00D53A4F"/>
    <w:rsid w:val="00D618BE"/>
    <w:rsid w:val="00D64C11"/>
    <w:rsid w:val="00D67873"/>
    <w:rsid w:val="00D73012"/>
    <w:rsid w:val="00D825A4"/>
    <w:rsid w:val="00D913CF"/>
    <w:rsid w:val="00D950E7"/>
    <w:rsid w:val="00DA6AB6"/>
    <w:rsid w:val="00DB13D0"/>
    <w:rsid w:val="00DB2DBE"/>
    <w:rsid w:val="00DC0013"/>
    <w:rsid w:val="00DC5C62"/>
    <w:rsid w:val="00DC5FE9"/>
    <w:rsid w:val="00DC742C"/>
    <w:rsid w:val="00DD2F96"/>
    <w:rsid w:val="00DE5DC7"/>
    <w:rsid w:val="00DF7956"/>
    <w:rsid w:val="00E11985"/>
    <w:rsid w:val="00E14275"/>
    <w:rsid w:val="00E52D50"/>
    <w:rsid w:val="00E613BE"/>
    <w:rsid w:val="00E86D9D"/>
    <w:rsid w:val="00EA2179"/>
    <w:rsid w:val="00EA7CF3"/>
    <w:rsid w:val="00EB5A6D"/>
    <w:rsid w:val="00EC2AD4"/>
    <w:rsid w:val="00EC70A1"/>
    <w:rsid w:val="00EE69B5"/>
    <w:rsid w:val="00EF57B1"/>
    <w:rsid w:val="00F01790"/>
    <w:rsid w:val="00F02012"/>
    <w:rsid w:val="00F15108"/>
    <w:rsid w:val="00F227C9"/>
    <w:rsid w:val="00F24D60"/>
    <w:rsid w:val="00F2706B"/>
    <w:rsid w:val="00F31B99"/>
    <w:rsid w:val="00F31CF3"/>
    <w:rsid w:val="00F37215"/>
    <w:rsid w:val="00F46D82"/>
    <w:rsid w:val="00F52A5E"/>
    <w:rsid w:val="00F9458B"/>
    <w:rsid w:val="00FA0A9E"/>
    <w:rsid w:val="00FB20C4"/>
    <w:rsid w:val="00FB5ECA"/>
    <w:rsid w:val="00FC249F"/>
    <w:rsid w:val="00FC5A4B"/>
    <w:rsid w:val="00FC7F99"/>
    <w:rsid w:val="00FE06E6"/>
    <w:rsid w:val="00FE27B3"/>
    <w:rsid w:val="00FE2C10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">
    <w:name w:val="Char4"/>
    <w:basedOn w:val="Normln"/>
    <w:rsid w:val="00451DC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basedOn w:val="Standardnpsmoodstavce"/>
    <w:uiPriority w:val="99"/>
    <w:unhideWhenUsed/>
    <w:rsid w:val="00D126DB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EE69B5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69B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69B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">
    <w:name w:val="Char4"/>
    <w:basedOn w:val="Normln"/>
    <w:rsid w:val="00451DC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basedOn w:val="Standardnpsmoodstavce"/>
    <w:uiPriority w:val="99"/>
    <w:unhideWhenUsed/>
    <w:rsid w:val="00D126DB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EE69B5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69B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69B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9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546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5</cp:revision>
  <cp:lastPrinted>2018-02-08T12:19:00Z</cp:lastPrinted>
  <dcterms:created xsi:type="dcterms:W3CDTF">2021-02-26T13:42:00Z</dcterms:created>
  <dcterms:modified xsi:type="dcterms:W3CDTF">2021-03-16T13:37:00Z</dcterms:modified>
</cp:coreProperties>
</file>